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Policies to source and link to or download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Geneva declaration on the rights of the child (1924)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UN Declaration on the rights of the child (1959)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minimum age convention (1973)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declaration on Social and legal principles relating to the protection and welfare of children with special reference to Foster Placement and Adoption (1987)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Declaration on the Protection of Women and Children in Emergency and Armed situations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UN convention on the rights of the Child (CRC) (1989)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African Charter on the Rights of the Child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UN Declaration on the Survival, Protection and Development of Children (1990)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optional Protocol to the CRC and ACRWC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South African Constitution and Children’s Act 38 of 2005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National Strategic Plan for GBV and Femicide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